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7B3" w:rsidRDefault="00D557B3" w:rsidP="006257FD">
      <w:pPr>
        <w:ind w:firstLine="720"/>
        <w:contextualSpacing/>
      </w:pPr>
    </w:p>
    <w:p w:rsidR="009F2B00" w:rsidRDefault="009F2B00" w:rsidP="006257FD">
      <w:pPr>
        <w:ind w:firstLine="720"/>
        <w:contextualSpacing/>
      </w:pPr>
      <w:r>
        <w:t xml:space="preserve">                                                   </w:t>
      </w:r>
    </w:p>
    <w:p w:rsidR="009F2B00" w:rsidRDefault="009F2B00" w:rsidP="006257FD">
      <w:pPr>
        <w:ind w:firstLine="720"/>
        <w:contextualSpacing/>
      </w:pPr>
    </w:p>
    <w:p w:rsidR="009F2B00" w:rsidRDefault="009F2B00" w:rsidP="006257FD">
      <w:pPr>
        <w:ind w:firstLine="720"/>
        <w:contextualSpacing/>
      </w:pPr>
    </w:p>
    <w:p w:rsidR="009F2B00" w:rsidRDefault="009F2B00" w:rsidP="009F2B00">
      <w:pPr>
        <w:ind w:firstLine="720"/>
        <w:contextualSpacing/>
        <w:jc w:val="center"/>
      </w:pPr>
    </w:p>
    <w:p w:rsidR="00D557B3" w:rsidRDefault="009F2B00" w:rsidP="009F2B00">
      <w:pPr>
        <w:ind w:firstLine="720"/>
        <w:contextualSpacing/>
        <w:jc w:val="center"/>
      </w:pPr>
      <w:r>
        <w:t>Jeremy Bentham Vs John Stuart Mill</w:t>
      </w:r>
    </w:p>
    <w:p w:rsidR="00D557B3" w:rsidRPr="00D557B3" w:rsidRDefault="00D557B3" w:rsidP="009F2B00">
      <w:pPr>
        <w:ind w:firstLine="720"/>
        <w:contextualSpacing/>
        <w:jc w:val="center"/>
      </w:pPr>
      <w:r w:rsidRPr="00D557B3">
        <w:t>Student ID</w:t>
      </w:r>
    </w:p>
    <w:p w:rsidR="00D557B3" w:rsidRPr="00D557B3" w:rsidRDefault="00D557B3" w:rsidP="009F2B00">
      <w:pPr>
        <w:ind w:firstLine="720"/>
        <w:contextualSpacing/>
        <w:jc w:val="center"/>
      </w:pPr>
      <w:r w:rsidRPr="00D557B3">
        <w:t>Professor’s Name</w:t>
      </w:r>
    </w:p>
    <w:p w:rsidR="00D557B3" w:rsidRPr="00D557B3" w:rsidRDefault="00D557B3" w:rsidP="009F2B00">
      <w:pPr>
        <w:ind w:firstLine="720"/>
        <w:contextualSpacing/>
        <w:jc w:val="center"/>
      </w:pPr>
      <w:r w:rsidRPr="00D557B3">
        <w:t>Course Title</w:t>
      </w:r>
    </w:p>
    <w:p w:rsidR="00D557B3" w:rsidRPr="00D557B3" w:rsidRDefault="00D557B3" w:rsidP="009F2B00">
      <w:pPr>
        <w:ind w:firstLine="720"/>
        <w:contextualSpacing/>
        <w:jc w:val="center"/>
      </w:pPr>
      <w:r w:rsidRPr="00D557B3">
        <w:t>Date of Submission</w:t>
      </w:r>
    </w:p>
    <w:p w:rsidR="00D557B3" w:rsidRDefault="00D557B3" w:rsidP="006257FD">
      <w:pPr>
        <w:ind w:firstLine="720"/>
        <w:contextualSpacing/>
      </w:pPr>
    </w:p>
    <w:p w:rsidR="00D557B3" w:rsidRDefault="00D557B3" w:rsidP="006257FD">
      <w:pPr>
        <w:ind w:firstLine="720"/>
        <w:contextualSpacing/>
      </w:pPr>
    </w:p>
    <w:p w:rsidR="00D557B3" w:rsidRDefault="00D557B3" w:rsidP="006257FD">
      <w:pPr>
        <w:ind w:firstLine="720"/>
        <w:contextualSpacing/>
      </w:pPr>
    </w:p>
    <w:p w:rsidR="00D557B3" w:rsidRDefault="00D557B3" w:rsidP="006257FD">
      <w:pPr>
        <w:ind w:firstLine="720"/>
        <w:contextualSpacing/>
      </w:pPr>
    </w:p>
    <w:p w:rsidR="00D557B3" w:rsidRDefault="00D557B3" w:rsidP="006257FD">
      <w:pPr>
        <w:ind w:firstLine="720"/>
        <w:contextualSpacing/>
      </w:pPr>
    </w:p>
    <w:p w:rsidR="00D557B3" w:rsidRDefault="00D557B3" w:rsidP="006257FD">
      <w:pPr>
        <w:ind w:firstLine="720"/>
        <w:contextualSpacing/>
      </w:pPr>
    </w:p>
    <w:p w:rsidR="00D557B3" w:rsidRDefault="00D557B3" w:rsidP="006257FD">
      <w:pPr>
        <w:ind w:firstLine="720"/>
        <w:contextualSpacing/>
      </w:pPr>
    </w:p>
    <w:p w:rsidR="00D557B3" w:rsidRDefault="00D557B3" w:rsidP="006257FD">
      <w:pPr>
        <w:ind w:firstLine="720"/>
        <w:contextualSpacing/>
      </w:pPr>
    </w:p>
    <w:p w:rsidR="00D557B3" w:rsidRDefault="00D557B3" w:rsidP="006257FD">
      <w:pPr>
        <w:ind w:firstLine="720"/>
        <w:contextualSpacing/>
      </w:pPr>
    </w:p>
    <w:p w:rsidR="00D557B3" w:rsidRDefault="00D557B3" w:rsidP="006257FD">
      <w:pPr>
        <w:ind w:firstLine="720"/>
        <w:contextualSpacing/>
      </w:pPr>
    </w:p>
    <w:p w:rsidR="00D557B3" w:rsidRDefault="00D557B3" w:rsidP="006257FD">
      <w:pPr>
        <w:ind w:firstLine="720"/>
        <w:contextualSpacing/>
      </w:pPr>
    </w:p>
    <w:p w:rsidR="00D557B3" w:rsidRDefault="00D557B3" w:rsidP="006257FD">
      <w:pPr>
        <w:ind w:firstLine="720"/>
        <w:contextualSpacing/>
      </w:pPr>
    </w:p>
    <w:p w:rsidR="00D557B3" w:rsidRDefault="00D557B3" w:rsidP="00691858">
      <w:pPr>
        <w:contextualSpacing/>
      </w:pPr>
    </w:p>
    <w:p w:rsidR="00691858" w:rsidRPr="00691858" w:rsidRDefault="00691858" w:rsidP="00691858">
      <w:pPr>
        <w:ind w:firstLine="720"/>
        <w:contextualSpacing/>
        <w:rPr>
          <w:rFonts w:eastAsia="Times New Roman" w:cs="Times New Roman"/>
          <w:color w:val="000000"/>
          <w:szCs w:val="24"/>
        </w:rPr>
      </w:pPr>
      <w:r w:rsidRPr="00691858">
        <w:rPr>
          <w:rFonts w:eastAsia="Times New Roman" w:cs="Times New Roman"/>
          <w:color w:val="000000"/>
          <w:szCs w:val="24"/>
        </w:rPr>
        <w:lastRenderedPageBreak/>
        <w:t>Jeremy Bentham and John Stuart Mill had some things in common regarding their utilitari</w:t>
      </w:r>
      <w:bookmarkStart w:id="0" w:name="_GoBack"/>
      <w:bookmarkEnd w:id="0"/>
      <w:r w:rsidRPr="00691858">
        <w:rPr>
          <w:rFonts w:eastAsia="Times New Roman" w:cs="Times New Roman"/>
          <w:color w:val="000000"/>
          <w:szCs w:val="24"/>
        </w:rPr>
        <w:t>anism theories. They share some assumptions, methods as well as for purposes. According to them, what is ethical is what brings people greatest happiness while minimizing pain. They agreed to the notion that morality needs to be judged by the consequences of actions. According to them, absolute moral do not exist since an action can be right or wrong depending on circumstances. They both were concerned with evolving analytical methods of inventing moral guidelines. Additionally, they thought the purpose of morality is to profit human beings. Both philosophers use arguments that are not stuck in some metaphysical assertions regarding the nature of morality.  According to them, persons can regularly make decisions for themselves. It is based on the concepts of right and wrong whereby the consequences of actions are determined.</w:t>
      </w:r>
    </w:p>
    <w:p w:rsidR="00691858" w:rsidRPr="00691858" w:rsidRDefault="00691858" w:rsidP="00691858">
      <w:pPr>
        <w:ind w:firstLine="720"/>
        <w:contextualSpacing/>
        <w:rPr>
          <w:rFonts w:eastAsia="Times New Roman" w:cs="Times New Roman"/>
          <w:color w:val="000000"/>
          <w:szCs w:val="24"/>
        </w:rPr>
      </w:pPr>
      <w:r w:rsidRPr="00691858">
        <w:rPr>
          <w:rFonts w:eastAsia="Times New Roman" w:cs="Times New Roman"/>
          <w:color w:val="000000"/>
          <w:szCs w:val="24"/>
        </w:rPr>
        <w:t>Their hypothesis stipulates that all activities should concentrate on conveying satisfaction to the highest number of individuals while limiting despondency. It is a hypothesis that is</w:t>
      </w:r>
      <w:r w:rsidR="00193CCF">
        <w:rPr>
          <w:rFonts w:eastAsia="Times New Roman" w:cs="Times New Roman"/>
          <w:color w:val="000000"/>
          <w:szCs w:val="24"/>
        </w:rPr>
        <w:t xml:space="preserve"> no</w:t>
      </w:r>
      <w:r w:rsidRPr="00691858">
        <w:rPr>
          <w:rFonts w:eastAsia="Times New Roman" w:cs="Times New Roman"/>
          <w:color w:val="000000"/>
          <w:szCs w:val="24"/>
        </w:rPr>
        <w:t xml:space="preserve">t just centered </w:t>
      </w:r>
      <w:r w:rsidR="00193CCF" w:rsidRPr="00691858">
        <w:rPr>
          <w:rFonts w:eastAsia="Times New Roman" w:cs="Times New Roman"/>
          <w:color w:val="000000"/>
          <w:szCs w:val="24"/>
        </w:rPr>
        <w:t>on</w:t>
      </w:r>
      <w:r w:rsidRPr="00691858">
        <w:rPr>
          <w:rFonts w:eastAsia="Times New Roman" w:cs="Times New Roman"/>
          <w:color w:val="000000"/>
          <w:szCs w:val="24"/>
        </w:rPr>
        <w:t xml:space="preserve"> people's interests yet, also, the interests of other individuals. Bentham built up specific standards of utility. As indicated by him, torment and joy have a critical part to play in the life of a person. Bentham stipulates that the activities uncommon to be affirmed or dislike in bases of torment and joy that they convey to individuals. Agony is compared with fiendish while bliss is likened to great. As indicated by Bentham, agony, and joy can be measured. Then again, John Stuart Mill accentuated on the best bliss to the most measure of people. He was the idea that torment and delight can't be measured, and, in this way, the essential goal was on the nature of bliss as opposed to the size of joy.</w:t>
      </w:r>
    </w:p>
    <w:p w:rsidR="00691858" w:rsidRPr="00691858" w:rsidRDefault="00691858" w:rsidP="00691858">
      <w:pPr>
        <w:ind w:firstLine="720"/>
        <w:contextualSpacing/>
        <w:rPr>
          <w:rFonts w:eastAsia="Times New Roman" w:cs="Times New Roman"/>
          <w:color w:val="000000"/>
          <w:szCs w:val="24"/>
        </w:rPr>
      </w:pPr>
      <w:r w:rsidRPr="00691858">
        <w:rPr>
          <w:rFonts w:eastAsia="Times New Roman" w:cs="Times New Roman"/>
          <w:color w:val="000000"/>
          <w:szCs w:val="24"/>
        </w:rPr>
        <w:t>On the other hand, there are some disagreements between Bentham’s and Mill’s arguments. The differences arise because Mill developed his argument by developing Bentham’s. Bentham wrote his ideas regarding utilitarianism theory in the 18th century while Mill expanded the theory in the mid-19th century. Additionally, the two philosophers wrote their arguments in different social and political context. Bentham’s theory is categorized as Act Utilitarianism while Mills falls under Rule Utilitarian. An Act Utilitarian makes a utilitarian judgment about each demonstration separately. A Rule Utilitarian will embrace general standards about the sorts of activities that tend to create happiness, for instance, 'Try not to be a bigot.' This statement will settle on central leadership less demanding and may forestall treacheries. The guidelines likewise shield against activities that would ordinarily be viewed as unethical, being advocated on utilitarian grounds. One reason for Mill receiving his Harm Principle was that he was worried to dodge the 'oppression of the larger part' which could happen under Bentham's Act Utilitarianism. Bentham's Hedonic Calculus a formula for ascertaining the possible utility of a proposed activity which weighs different components like power and term. A formula like this is essential if one is to assess each demonstration individually. Bentham plainly still kept up a place for standards and laws in society. Mill's Rule Utilitarianism contained one exceptionally basic manage: That one ought to be allowed to do and say what one enjoyed as long as one does not hurt others.</w:t>
      </w:r>
    </w:p>
    <w:p w:rsidR="00691858" w:rsidRPr="00691858" w:rsidRDefault="00691858" w:rsidP="00691858">
      <w:pPr>
        <w:ind w:firstLine="720"/>
        <w:contextualSpacing/>
        <w:rPr>
          <w:rFonts w:eastAsia="Times New Roman" w:cs="Times New Roman"/>
          <w:color w:val="000000"/>
          <w:szCs w:val="24"/>
        </w:rPr>
      </w:pPr>
      <w:r w:rsidRPr="00691858">
        <w:rPr>
          <w:rFonts w:eastAsia="Times New Roman" w:cs="Times New Roman"/>
          <w:color w:val="000000"/>
          <w:szCs w:val="24"/>
        </w:rPr>
        <w:t xml:space="preserve">On Mill's view, a few sorts of delight experienced by individuals additionally vary from each other in subjective ways, and just the individuals who have encountered joy of the two sorts are experienced judges of their relative quality. This builds up the moral worth of advancing higher to a great extent scholarly joys among conscious creatures notwithstanding when their passing power might be not as much as that of option lower (to a great extent real) joys. All things being equal, Mill allowed that the positive accomplishment of bliss is regularly troublesome, with the goal that we are frequently supported ethically in looking for fundamentally to lessen the aggregate sum of torment experienced by conscious creatures influenced by our activities. Agony or even the yield of joy is justified on Mill's view just when it comes about specifically in more prominent benefit of all (Schultz &amp; Varouxakis, 2005).  </w:t>
      </w:r>
    </w:p>
    <w:p w:rsidR="00691858" w:rsidRPr="00691858" w:rsidRDefault="00691858" w:rsidP="00691858">
      <w:pPr>
        <w:ind w:firstLine="720"/>
        <w:contextualSpacing/>
        <w:rPr>
          <w:rFonts w:eastAsia="Times New Roman" w:cs="Times New Roman"/>
          <w:color w:val="000000"/>
          <w:szCs w:val="24"/>
        </w:rPr>
      </w:pPr>
      <w:r w:rsidRPr="00691858">
        <w:rPr>
          <w:rFonts w:eastAsia="Times New Roman" w:cs="Times New Roman"/>
          <w:color w:val="000000"/>
          <w:szCs w:val="24"/>
        </w:rPr>
        <w:t xml:space="preserve">Against the individuals who contend that the utilitarian hypothesis preposterously requests of individual operators that they dedicate their essential energies to the unfeeling and wearisome count of foreseen impacts of their activities, Mill offered a noteworthy capability. Decisively because we do not have sufficient energy to figure precisely in each case, he assumed, we legitimately enable our activities to be guided by moral principles more often than not. Somewhat foreseeing the later qualification amongst act and control utilitarianism, Mill brought up that good auxiliary standards, at any rate, play out a critical administration by giving plentiful direction to each day moral life. At last, notwithstanding, he underscored that the estimation of every specific activity particularly in troublesome or dubious cases is to be dictated by reference to the rule of utility itself. </w:t>
      </w:r>
    </w:p>
    <w:p w:rsidR="00691858" w:rsidRPr="00691858" w:rsidRDefault="00691858" w:rsidP="00691858">
      <w:pPr>
        <w:ind w:firstLine="720"/>
        <w:contextualSpacing/>
        <w:rPr>
          <w:rFonts w:eastAsia="Times New Roman" w:cs="Times New Roman"/>
          <w:color w:val="000000"/>
          <w:szCs w:val="24"/>
        </w:rPr>
      </w:pPr>
      <w:r w:rsidRPr="00691858">
        <w:rPr>
          <w:rFonts w:eastAsia="Times New Roman" w:cs="Times New Roman"/>
          <w:color w:val="000000"/>
          <w:szCs w:val="24"/>
        </w:rPr>
        <w:t xml:space="preserve">According to Mill is that whatever inspires individuals to make the best decision. Plant guaranteed widespread concession to the part of good authorizes in evoking legitimate direct from human specialists. Be that as it may, not at all like Bentham, Mill did not confine himself to the socially-forced outer assents of discipline and fault, which make the outcomes of inappropriate activity all the more agonizing. On Mill's view, people are additionally propelled by such inside authorizations as confidence, blame, and still, small voice. Since we as a whole have social sentiments in the interest of others, the unselfish wish for the benefit of all is regularly enough to move us to act ethically. Regardless of the possibility that others don't fault or rebuff me for fouling up, I am probably going to point the finger at myself, and that awful inclination is one more of the ensuing torments that I sensibly consider when choosing what to do (Crimmins, 2011). </w:t>
      </w:r>
    </w:p>
    <w:p w:rsidR="00EA120B" w:rsidRDefault="00691858" w:rsidP="00691858">
      <w:pPr>
        <w:ind w:firstLine="720"/>
        <w:contextualSpacing/>
        <w:rPr>
          <w:rFonts w:eastAsia="Times New Roman" w:cs="Times New Roman"/>
          <w:color w:val="000000"/>
          <w:szCs w:val="24"/>
        </w:rPr>
      </w:pPr>
      <w:r w:rsidRPr="00691858">
        <w:rPr>
          <w:rFonts w:eastAsia="Times New Roman" w:cs="Times New Roman"/>
          <w:color w:val="000000"/>
          <w:szCs w:val="24"/>
        </w:rPr>
        <w:t>Mill states that happiness is a duty which everyone has the responsibility of pursuing. He did not agree with Bentham’s hedonic calculus. According to him, the quantity of pleasure that one receives is quite essential. Higher pleasure is preferred compared to lower pleasure. Most of the mill's arguments have been criticized due to lack of logical sense. However, the cases are supported by psychological scholars who support the argument that people seek pleasure and avoid pain at all cost throughout their lives. On the other hand, he contended that the hedonistic value of any human activity is effectively computed by considering how seriously its pleasure is felt.  he also considered the extent that joy keeps going, how unquestionably and how rapidly it takes after upon the execution of the activity, and that it is so prone to deliver security benefits and dodge insurance hurts. Considering such issues, we touch base at a net estimation of each activity for any individual influenced by it.</w:t>
      </w:r>
    </w:p>
    <w:p w:rsidR="00EA120B" w:rsidRDefault="00EA120B" w:rsidP="006257FD">
      <w:pPr>
        <w:ind w:firstLine="720"/>
        <w:contextualSpacing/>
        <w:rPr>
          <w:rFonts w:eastAsia="Times New Roman" w:cs="Times New Roman"/>
          <w:color w:val="000000"/>
          <w:szCs w:val="24"/>
        </w:rPr>
      </w:pPr>
    </w:p>
    <w:p w:rsidR="00EA120B" w:rsidRDefault="00EA120B" w:rsidP="006257FD">
      <w:pPr>
        <w:ind w:firstLine="720"/>
        <w:contextualSpacing/>
        <w:rPr>
          <w:rFonts w:eastAsia="Times New Roman" w:cs="Times New Roman"/>
          <w:color w:val="000000"/>
          <w:szCs w:val="24"/>
        </w:rPr>
      </w:pPr>
    </w:p>
    <w:p w:rsidR="00EA120B" w:rsidRDefault="00EA120B" w:rsidP="006257FD">
      <w:pPr>
        <w:ind w:firstLine="720"/>
        <w:contextualSpacing/>
        <w:rPr>
          <w:rFonts w:eastAsia="Times New Roman" w:cs="Times New Roman"/>
          <w:color w:val="000000"/>
          <w:szCs w:val="24"/>
        </w:rPr>
      </w:pPr>
    </w:p>
    <w:p w:rsidR="00193CCF" w:rsidRDefault="00193CCF" w:rsidP="006257FD">
      <w:pPr>
        <w:ind w:firstLine="720"/>
        <w:contextualSpacing/>
        <w:rPr>
          <w:rFonts w:eastAsia="Times New Roman" w:cs="Times New Roman"/>
          <w:color w:val="000000"/>
          <w:szCs w:val="24"/>
        </w:rPr>
      </w:pPr>
    </w:p>
    <w:p w:rsidR="00193CCF" w:rsidRDefault="00193CCF" w:rsidP="006257FD">
      <w:pPr>
        <w:ind w:firstLine="720"/>
        <w:contextualSpacing/>
        <w:rPr>
          <w:rFonts w:eastAsia="Times New Roman" w:cs="Times New Roman"/>
          <w:color w:val="000000"/>
          <w:szCs w:val="24"/>
        </w:rPr>
      </w:pPr>
    </w:p>
    <w:p w:rsidR="00193CCF" w:rsidRDefault="00193CCF" w:rsidP="006257FD">
      <w:pPr>
        <w:ind w:firstLine="720"/>
        <w:contextualSpacing/>
        <w:rPr>
          <w:rFonts w:eastAsia="Times New Roman" w:cs="Times New Roman"/>
          <w:color w:val="000000"/>
          <w:szCs w:val="24"/>
        </w:rPr>
      </w:pPr>
    </w:p>
    <w:p w:rsidR="00193CCF" w:rsidRDefault="00193CCF" w:rsidP="006257FD">
      <w:pPr>
        <w:ind w:firstLine="720"/>
        <w:contextualSpacing/>
        <w:rPr>
          <w:rFonts w:eastAsia="Times New Roman" w:cs="Times New Roman"/>
          <w:color w:val="000000"/>
          <w:szCs w:val="24"/>
        </w:rPr>
      </w:pPr>
    </w:p>
    <w:p w:rsidR="00193CCF" w:rsidRDefault="00193CCF" w:rsidP="006257FD">
      <w:pPr>
        <w:ind w:firstLine="720"/>
        <w:contextualSpacing/>
        <w:rPr>
          <w:rFonts w:eastAsia="Times New Roman" w:cs="Times New Roman"/>
          <w:color w:val="000000"/>
          <w:szCs w:val="24"/>
        </w:rPr>
      </w:pPr>
    </w:p>
    <w:p w:rsidR="00193CCF" w:rsidRDefault="00193CCF" w:rsidP="006257FD">
      <w:pPr>
        <w:ind w:firstLine="720"/>
        <w:contextualSpacing/>
        <w:rPr>
          <w:rFonts w:eastAsia="Times New Roman" w:cs="Times New Roman"/>
          <w:color w:val="000000"/>
          <w:szCs w:val="24"/>
        </w:rPr>
      </w:pPr>
    </w:p>
    <w:p w:rsidR="00193CCF" w:rsidRDefault="00193CCF" w:rsidP="006257FD">
      <w:pPr>
        <w:ind w:firstLine="720"/>
        <w:contextualSpacing/>
        <w:rPr>
          <w:rFonts w:eastAsia="Times New Roman" w:cs="Times New Roman"/>
          <w:color w:val="000000"/>
          <w:szCs w:val="24"/>
        </w:rPr>
      </w:pPr>
    </w:p>
    <w:p w:rsidR="00EA120B" w:rsidRDefault="00EA120B" w:rsidP="006257FD">
      <w:pPr>
        <w:ind w:firstLine="720"/>
        <w:contextualSpacing/>
        <w:rPr>
          <w:rFonts w:eastAsia="Times New Roman" w:cs="Times New Roman"/>
          <w:color w:val="000000"/>
          <w:szCs w:val="24"/>
        </w:rPr>
      </w:pPr>
    </w:p>
    <w:p w:rsidR="00EA120B" w:rsidRDefault="00EA120B" w:rsidP="006257FD">
      <w:pPr>
        <w:ind w:firstLine="720"/>
        <w:contextualSpacing/>
        <w:rPr>
          <w:rFonts w:eastAsia="Times New Roman" w:cs="Times New Roman"/>
          <w:color w:val="000000"/>
          <w:szCs w:val="24"/>
        </w:rPr>
      </w:pPr>
    </w:p>
    <w:p w:rsidR="00EA120B" w:rsidRDefault="00152247" w:rsidP="006257FD">
      <w:pPr>
        <w:ind w:firstLine="720"/>
        <w:contextualSpacing/>
        <w:rPr>
          <w:rFonts w:eastAsia="Times New Roman" w:cs="Times New Roman"/>
          <w:color w:val="000000"/>
          <w:szCs w:val="24"/>
        </w:rPr>
      </w:pPr>
      <w:r>
        <w:rPr>
          <w:rFonts w:eastAsia="Times New Roman" w:cs="Times New Roman"/>
          <w:color w:val="000000"/>
          <w:szCs w:val="24"/>
        </w:rPr>
        <w:t xml:space="preserve">                                                            </w:t>
      </w:r>
      <w:r w:rsidR="00EA120B">
        <w:rPr>
          <w:rFonts w:eastAsia="Times New Roman" w:cs="Times New Roman"/>
          <w:color w:val="000000"/>
          <w:szCs w:val="24"/>
        </w:rPr>
        <w:t xml:space="preserve">References </w:t>
      </w:r>
    </w:p>
    <w:p w:rsidR="00EA120B" w:rsidRDefault="00EA120B" w:rsidP="00152247">
      <w:pPr>
        <w:ind w:left="720" w:hanging="720"/>
        <w:contextualSpacing/>
        <w:rPr>
          <w:rFonts w:eastAsia="Times New Roman" w:cs="Times New Roman"/>
          <w:color w:val="000000"/>
          <w:szCs w:val="24"/>
        </w:rPr>
      </w:pPr>
      <w:r w:rsidRPr="00EA120B">
        <w:rPr>
          <w:rFonts w:eastAsia="Times New Roman" w:cs="Times New Roman" w:hint="eastAsia"/>
          <w:color w:val="000000"/>
          <w:szCs w:val="24"/>
        </w:rPr>
        <w:t>Crimmins, J. E. (2011). </w:t>
      </w:r>
      <w:r w:rsidRPr="00EA120B">
        <w:rPr>
          <w:rFonts w:eastAsia="Times New Roman" w:cs="Times New Roman" w:hint="eastAsia"/>
          <w:i/>
          <w:iCs/>
          <w:color w:val="000000"/>
          <w:szCs w:val="24"/>
        </w:rPr>
        <w:t>Utilitarian philosophy and politics: Bentham's later years</w:t>
      </w:r>
      <w:r w:rsidRPr="00EA120B">
        <w:rPr>
          <w:rFonts w:eastAsia="Times New Roman" w:cs="Times New Roman" w:hint="eastAsia"/>
          <w:color w:val="000000"/>
          <w:szCs w:val="24"/>
        </w:rPr>
        <w:t>. London: Continuum.</w:t>
      </w:r>
    </w:p>
    <w:p w:rsidR="00EA120B" w:rsidRDefault="00EA120B" w:rsidP="00152247">
      <w:pPr>
        <w:ind w:left="720" w:hanging="720"/>
        <w:contextualSpacing/>
        <w:rPr>
          <w:rFonts w:eastAsia="Times New Roman" w:cs="Times New Roman"/>
          <w:color w:val="000000"/>
          <w:szCs w:val="24"/>
        </w:rPr>
      </w:pPr>
      <w:r w:rsidRPr="00EA120B">
        <w:rPr>
          <w:rFonts w:eastAsia="Times New Roman" w:cs="Times New Roman" w:hint="eastAsia"/>
          <w:color w:val="000000"/>
          <w:szCs w:val="24"/>
        </w:rPr>
        <w:t>Schultz, B., &amp; Varouxakis, G. (2005). </w:t>
      </w:r>
      <w:r w:rsidRPr="00EA120B">
        <w:rPr>
          <w:rFonts w:eastAsia="Times New Roman" w:cs="Times New Roman" w:hint="eastAsia"/>
          <w:i/>
          <w:iCs/>
          <w:color w:val="000000"/>
          <w:szCs w:val="24"/>
        </w:rPr>
        <w:t>Utilitarianism and empire</w:t>
      </w:r>
      <w:r w:rsidRPr="00EA120B">
        <w:rPr>
          <w:rFonts w:eastAsia="Times New Roman" w:cs="Times New Roman" w:hint="eastAsia"/>
          <w:color w:val="000000"/>
          <w:szCs w:val="24"/>
        </w:rPr>
        <w:t>. Lanham, Md. [u.a.: Lexington Books.</w:t>
      </w:r>
    </w:p>
    <w:p w:rsidR="00EA120B" w:rsidRDefault="00EA120B" w:rsidP="006257FD">
      <w:pPr>
        <w:ind w:firstLine="720"/>
        <w:contextualSpacing/>
        <w:rPr>
          <w:rFonts w:eastAsia="Times New Roman" w:cs="Times New Roman"/>
          <w:color w:val="000000"/>
          <w:szCs w:val="24"/>
        </w:rPr>
      </w:pPr>
    </w:p>
    <w:p w:rsidR="00EA120B" w:rsidRDefault="00EA120B" w:rsidP="00193CCF">
      <w:pPr>
        <w:contextualSpacing/>
        <w:rPr>
          <w:rFonts w:eastAsia="Times New Roman" w:cs="Times New Roman"/>
          <w:color w:val="000000"/>
          <w:szCs w:val="24"/>
        </w:rPr>
      </w:pPr>
    </w:p>
    <w:p w:rsidR="00EA120B" w:rsidRDefault="00EA120B" w:rsidP="006257FD">
      <w:pPr>
        <w:ind w:firstLine="720"/>
        <w:contextualSpacing/>
        <w:rPr>
          <w:rFonts w:eastAsia="Times New Roman" w:cs="Times New Roman"/>
          <w:color w:val="000000"/>
          <w:szCs w:val="24"/>
        </w:rPr>
      </w:pPr>
    </w:p>
    <w:p w:rsidR="00EA120B" w:rsidRDefault="00EA120B" w:rsidP="006257FD">
      <w:pPr>
        <w:ind w:firstLine="720"/>
        <w:contextualSpacing/>
        <w:rPr>
          <w:rFonts w:eastAsia="Times New Roman" w:cs="Times New Roman"/>
          <w:color w:val="000000"/>
          <w:szCs w:val="24"/>
        </w:rPr>
      </w:pPr>
    </w:p>
    <w:p w:rsidR="00120010" w:rsidRDefault="00120010" w:rsidP="006257FD">
      <w:pPr>
        <w:ind w:firstLine="720"/>
        <w:contextualSpacing/>
        <w:rPr>
          <w:rFonts w:eastAsia="Times New Roman" w:cs="Times New Roman"/>
          <w:color w:val="000000"/>
          <w:szCs w:val="24"/>
        </w:rPr>
      </w:pPr>
    </w:p>
    <w:p w:rsidR="009B6388" w:rsidRDefault="009B6388" w:rsidP="006257FD">
      <w:pPr>
        <w:ind w:firstLine="720"/>
        <w:contextualSpacing/>
      </w:pPr>
    </w:p>
    <w:sectPr w:rsidR="009B6388" w:rsidSect="009F2B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A4B" w:rsidRDefault="00F56A4B" w:rsidP="009F2B00">
      <w:pPr>
        <w:spacing w:after="0" w:line="240" w:lineRule="auto"/>
      </w:pPr>
      <w:r>
        <w:separator/>
      </w:r>
    </w:p>
  </w:endnote>
  <w:endnote w:type="continuationSeparator" w:id="0">
    <w:p w:rsidR="00F56A4B" w:rsidRDefault="00F56A4B" w:rsidP="009F2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A4B" w:rsidRDefault="00F56A4B" w:rsidP="009F2B00">
      <w:pPr>
        <w:spacing w:after="0" w:line="240" w:lineRule="auto"/>
      </w:pPr>
      <w:r>
        <w:separator/>
      </w:r>
    </w:p>
  </w:footnote>
  <w:footnote w:type="continuationSeparator" w:id="0">
    <w:p w:rsidR="00F56A4B" w:rsidRDefault="00F56A4B" w:rsidP="009F2B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B00" w:rsidRDefault="009F2B00">
    <w:pPr>
      <w:pStyle w:val="Header"/>
      <w:jc w:val="right"/>
    </w:pPr>
    <w:sdt>
      <w:sdtPr>
        <w:id w:val="1512877860"/>
        <w:docPartObj>
          <w:docPartGallery w:val="Page Numbers (Top of Page)"/>
          <w:docPartUnique/>
        </w:docPartObj>
      </w:sdtPr>
      <w:sdtEndPr>
        <w:rPr>
          <w:noProof/>
        </w:rPr>
      </w:sdtEndPr>
      <w:sdtContent>
        <w:r w:rsidRPr="009F2B00">
          <w:t xml:space="preserve">JEREMY BENTHAM Vs JOHN STUART MILL </w:t>
        </w:r>
        <w:r>
          <w:t xml:space="preserve">                                                                       </w:t>
        </w:r>
        <w:r>
          <w:fldChar w:fldCharType="begin"/>
        </w:r>
        <w:r>
          <w:instrText xml:space="preserve"> PAGE   \* MERGEFORMAT </w:instrText>
        </w:r>
        <w:r>
          <w:fldChar w:fldCharType="separate"/>
        </w:r>
        <w:r w:rsidR="00193CCF">
          <w:rPr>
            <w:noProof/>
          </w:rPr>
          <w:t>6</w:t>
        </w:r>
        <w:r>
          <w:rPr>
            <w:noProof/>
          </w:rPr>
          <w:fldChar w:fldCharType="end"/>
        </w:r>
      </w:sdtContent>
    </w:sdt>
  </w:p>
  <w:p w:rsidR="009F2B00" w:rsidRDefault="009F2B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9359962"/>
      <w:docPartObj>
        <w:docPartGallery w:val="Page Numbers (Top of Page)"/>
        <w:docPartUnique/>
      </w:docPartObj>
    </w:sdtPr>
    <w:sdtEndPr>
      <w:rPr>
        <w:noProof/>
      </w:rPr>
    </w:sdtEndPr>
    <w:sdtContent>
      <w:p w:rsidR="009F2B00" w:rsidRDefault="009F2B00">
        <w:pPr>
          <w:pStyle w:val="Header"/>
          <w:jc w:val="right"/>
        </w:pPr>
        <w:r>
          <w:t xml:space="preserve">Running head: JEREMY BENTHAM Vs JOHN STUART MILL                                                </w:t>
        </w:r>
        <w:r>
          <w:fldChar w:fldCharType="begin"/>
        </w:r>
        <w:r>
          <w:instrText xml:space="preserve"> PAGE   \* MERGEFORMAT </w:instrText>
        </w:r>
        <w:r>
          <w:fldChar w:fldCharType="separate"/>
        </w:r>
        <w:r w:rsidR="00F56A4B">
          <w:rPr>
            <w:noProof/>
          </w:rPr>
          <w:t>1</w:t>
        </w:r>
        <w:r>
          <w:rPr>
            <w:noProof/>
          </w:rPr>
          <w:fldChar w:fldCharType="end"/>
        </w:r>
      </w:p>
    </w:sdtContent>
  </w:sdt>
  <w:p w:rsidR="009F2B00" w:rsidRDefault="009F2B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BC1"/>
    <w:rsid w:val="00042869"/>
    <w:rsid w:val="00103BC1"/>
    <w:rsid w:val="00120010"/>
    <w:rsid w:val="00152247"/>
    <w:rsid w:val="00193CCF"/>
    <w:rsid w:val="00377D25"/>
    <w:rsid w:val="00473274"/>
    <w:rsid w:val="00494D4E"/>
    <w:rsid w:val="005965E0"/>
    <w:rsid w:val="005D00BF"/>
    <w:rsid w:val="006257FD"/>
    <w:rsid w:val="00691858"/>
    <w:rsid w:val="006F5951"/>
    <w:rsid w:val="00884446"/>
    <w:rsid w:val="00926AB7"/>
    <w:rsid w:val="009276D7"/>
    <w:rsid w:val="009A2252"/>
    <w:rsid w:val="009B6388"/>
    <w:rsid w:val="009F2B00"/>
    <w:rsid w:val="00B25FEC"/>
    <w:rsid w:val="00C271BD"/>
    <w:rsid w:val="00D557B3"/>
    <w:rsid w:val="00E13CF8"/>
    <w:rsid w:val="00E14F67"/>
    <w:rsid w:val="00E404D3"/>
    <w:rsid w:val="00EA120B"/>
    <w:rsid w:val="00EC53C0"/>
    <w:rsid w:val="00F56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0B900A-FC09-4780-8B77-46AE64503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B00"/>
  </w:style>
  <w:style w:type="paragraph" w:styleId="Footer">
    <w:name w:val="footer"/>
    <w:basedOn w:val="Normal"/>
    <w:link w:val="FooterChar"/>
    <w:uiPriority w:val="99"/>
    <w:unhideWhenUsed/>
    <w:rsid w:val="009F2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093502">
      <w:bodyDiv w:val="1"/>
      <w:marLeft w:val="0"/>
      <w:marRight w:val="0"/>
      <w:marTop w:val="0"/>
      <w:marBottom w:val="0"/>
      <w:divBdr>
        <w:top w:val="none" w:sz="0" w:space="0" w:color="auto"/>
        <w:left w:val="none" w:sz="0" w:space="0" w:color="auto"/>
        <w:bottom w:val="none" w:sz="0" w:space="0" w:color="auto"/>
        <w:right w:val="none" w:sz="0" w:space="0" w:color="auto"/>
      </w:divBdr>
      <w:divsChild>
        <w:div w:id="1752773239">
          <w:marLeft w:val="0"/>
          <w:marRight w:val="0"/>
          <w:marTop w:val="0"/>
          <w:marBottom w:val="0"/>
          <w:divBdr>
            <w:top w:val="none" w:sz="0" w:space="0" w:color="auto"/>
            <w:left w:val="none" w:sz="0" w:space="0" w:color="auto"/>
            <w:bottom w:val="none" w:sz="0" w:space="0" w:color="auto"/>
            <w:right w:val="none" w:sz="0" w:space="0" w:color="auto"/>
          </w:divBdr>
        </w:div>
        <w:div w:id="348680874">
          <w:marLeft w:val="0"/>
          <w:marRight w:val="0"/>
          <w:marTop w:val="0"/>
          <w:marBottom w:val="0"/>
          <w:divBdr>
            <w:top w:val="none" w:sz="0" w:space="0" w:color="auto"/>
            <w:left w:val="none" w:sz="0" w:space="0" w:color="auto"/>
            <w:bottom w:val="none" w:sz="0" w:space="0" w:color="auto"/>
            <w:right w:val="none" w:sz="0" w:space="0" w:color="auto"/>
          </w:divBdr>
        </w:div>
        <w:div w:id="286591083">
          <w:marLeft w:val="0"/>
          <w:marRight w:val="0"/>
          <w:marTop w:val="0"/>
          <w:marBottom w:val="0"/>
          <w:divBdr>
            <w:top w:val="none" w:sz="0" w:space="0" w:color="auto"/>
            <w:left w:val="none" w:sz="0" w:space="0" w:color="auto"/>
            <w:bottom w:val="none" w:sz="0" w:space="0" w:color="auto"/>
            <w:right w:val="none" w:sz="0" w:space="0" w:color="auto"/>
          </w:divBdr>
        </w:div>
        <w:div w:id="90207260">
          <w:marLeft w:val="0"/>
          <w:marRight w:val="0"/>
          <w:marTop w:val="0"/>
          <w:marBottom w:val="0"/>
          <w:divBdr>
            <w:top w:val="none" w:sz="0" w:space="0" w:color="auto"/>
            <w:left w:val="none" w:sz="0" w:space="0" w:color="auto"/>
            <w:bottom w:val="none" w:sz="0" w:space="0" w:color="auto"/>
            <w:right w:val="none" w:sz="0" w:space="0" w:color="auto"/>
          </w:divBdr>
        </w:div>
        <w:div w:id="288170067">
          <w:marLeft w:val="0"/>
          <w:marRight w:val="0"/>
          <w:marTop w:val="0"/>
          <w:marBottom w:val="0"/>
          <w:divBdr>
            <w:top w:val="none" w:sz="0" w:space="0" w:color="auto"/>
            <w:left w:val="none" w:sz="0" w:space="0" w:color="auto"/>
            <w:bottom w:val="none" w:sz="0" w:space="0" w:color="auto"/>
            <w:right w:val="none" w:sz="0" w:space="0" w:color="auto"/>
          </w:divBdr>
        </w:div>
        <w:div w:id="518739098">
          <w:marLeft w:val="0"/>
          <w:marRight w:val="0"/>
          <w:marTop w:val="0"/>
          <w:marBottom w:val="0"/>
          <w:divBdr>
            <w:top w:val="none" w:sz="0" w:space="0" w:color="auto"/>
            <w:left w:val="none" w:sz="0" w:space="0" w:color="auto"/>
            <w:bottom w:val="none" w:sz="0" w:space="0" w:color="auto"/>
            <w:right w:val="none" w:sz="0" w:space="0" w:color="auto"/>
          </w:divBdr>
        </w:div>
        <w:div w:id="1000542199">
          <w:marLeft w:val="0"/>
          <w:marRight w:val="0"/>
          <w:marTop w:val="0"/>
          <w:marBottom w:val="0"/>
          <w:divBdr>
            <w:top w:val="none" w:sz="0" w:space="0" w:color="auto"/>
            <w:left w:val="none" w:sz="0" w:space="0" w:color="auto"/>
            <w:bottom w:val="none" w:sz="0" w:space="0" w:color="auto"/>
            <w:right w:val="none" w:sz="0" w:space="0" w:color="auto"/>
          </w:divBdr>
        </w:div>
        <w:div w:id="282230200">
          <w:marLeft w:val="0"/>
          <w:marRight w:val="0"/>
          <w:marTop w:val="0"/>
          <w:marBottom w:val="0"/>
          <w:divBdr>
            <w:top w:val="none" w:sz="0" w:space="0" w:color="auto"/>
            <w:left w:val="none" w:sz="0" w:space="0" w:color="auto"/>
            <w:bottom w:val="none" w:sz="0" w:space="0" w:color="auto"/>
            <w:right w:val="none" w:sz="0" w:space="0" w:color="auto"/>
          </w:divBdr>
        </w:div>
        <w:div w:id="477964152">
          <w:marLeft w:val="0"/>
          <w:marRight w:val="0"/>
          <w:marTop w:val="0"/>
          <w:marBottom w:val="0"/>
          <w:divBdr>
            <w:top w:val="none" w:sz="0" w:space="0" w:color="auto"/>
            <w:left w:val="none" w:sz="0" w:space="0" w:color="auto"/>
            <w:bottom w:val="none" w:sz="0" w:space="0" w:color="auto"/>
            <w:right w:val="none" w:sz="0" w:space="0" w:color="auto"/>
          </w:divBdr>
        </w:div>
        <w:div w:id="1228419619">
          <w:marLeft w:val="0"/>
          <w:marRight w:val="0"/>
          <w:marTop w:val="0"/>
          <w:marBottom w:val="0"/>
          <w:divBdr>
            <w:top w:val="none" w:sz="0" w:space="0" w:color="auto"/>
            <w:left w:val="none" w:sz="0" w:space="0" w:color="auto"/>
            <w:bottom w:val="none" w:sz="0" w:space="0" w:color="auto"/>
            <w:right w:val="none" w:sz="0" w:space="0" w:color="auto"/>
          </w:divBdr>
        </w:div>
        <w:div w:id="1872693584">
          <w:marLeft w:val="0"/>
          <w:marRight w:val="0"/>
          <w:marTop w:val="0"/>
          <w:marBottom w:val="0"/>
          <w:divBdr>
            <w:top w:val="none" w:sz="0" w:space="0" w:color="auto"/>
            <w:left w:val="none" w:sz="0" w:space="0" w:color="auto"/>
            <w:bottom w:val="none" w:sz="0" w:space="0" w:color="auto"/>
            <w:right w:val="none" w:sz="0" w:space="0" w:color="auto"/>
          </w:divBdr>
        </w:div>
        <w:div w:id="1387679770">
          <w:marLeft w:val="0"/>
          <w:marRight w:val="0"/>
          <w:marTop w:val="0"/>
          <w:marBottom w:val="0"/>
          <w:divBdr>
            <w:top w:val="none" w:sz="0" w:space="0" w:color="auto"/>
            <w:left w:val="none" w:sz="0" w:space="0" w:color="auto"/>
            <w:bottom w:val="none" w:sz="0" w:space="0" w:color="auto"/>
            <w:right w:val="none" w:sz="0" w:space="0" w:color="auto"/>
          </w:divBdr>
        </w:div>
        <w:div w:id="454831726">
          <w:marLeft w:val="0"/>
          <w:marRight w:val="0"/>
          <w:marTop w:val="0"/>
          <w:marBottom w:val="0"/>
          <w:divBdr>
            <w:top w:val="none" w:sz="0" w:space="0" w:color="auto"/>
            <w:left w:val="none" w:sz="0" w:space="0" w:color="auto"/>
            <w:bottom w:val="none" w:sz="0" w:space="0" w:color="auto"/>
            <w:right w:val="none" w:sz="0" w:space="0" w:color="auto"/>
          </w:divBdr>
        </w:div>
        <w:div w:id="1301303940">
          <w:marLeft w:val="0"/>
          <w:marRight w:val="0"/>
          <w:marTop w:val="0"/>
          <w:marBottom w:val="0"/>
          <w:divBdr>
            <w:top w:val="none" w:sz="0" w:space="0" w:color="auto"/>
            <w:left w:val="none" w:sz="0" w:space="0" w:color="auto"/>
            <w:bottom w:val="none" w:sz="0" w:space="0" w:color="auto"/>
            <w:right w:val="none" w:sz="0" w:space="0" w:color="auto"/>
          </w:divBdr>
        </w:div>
        <w:div w:id="659192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6</Pages>
  <Words>1149</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2017-11-16T15:09:00Z</dcterms:created>
  <dcterms:modified xsi:type="dcterms:W3CDTF">2017-11-16T20:26:00Z</dcterms:modified>
</cp:coreProperties>
</file>